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7C" w:rsidRDefault="002F207E" w:rsidP="002F207E">
      <w:pPr>
        <w:ind w:firstLineChars="0" w:firstLine="0"/>
        <w:jc w:val="center"/>
        <w:rPr>
          <w:rFonts w:ascii="方正小标宋简体" w:eastAsia="方正小标宋简体" w:hAnsi="黑体"/>
          <w:sz w:val="32"/>
          <w:szCs w:val="32"/>
        </w:rPr>
      </w:pPr>
      <w:r w:rsidRPr="002F207E">
        <w:rPr>
          <w:rFonts w:ascii="方正小标宋简体" w:eastAsia="方正小标宋简体" w:hAnsi="黑体" w:hint="eastAsia"/>
          <w:sz w:val="32"/>
          <w:szCs w:val="32"/>
        </w:rPr>
        <w:t>关于深化项目评审、人才评价、机构评估改革的意见</w:t>
      </w:r>
    </w:p>
    <w:p w:rsidR="002F207E" w:rsidRDefault="002F207E" w:rsidP="002F207E">
      <w:pPr>
        <w:ind w:firstLineChars="0" w:firstLine="0"/>
        <w:jc w:val="center"/>
        <w:rPr>
          <w:rFonts w:ascii="楷体" w:eastAsia="楷体" w:hAnsi="楷体"/>
          <w:color w:val="666666"/>
          <w:sz w:val="21"/>
          <w:szCs w:val="21"/>
          <w:shd w:val="clear" w:color="auto" w:fill="FFFFFF"/>
        </w:rPr>
      </w:pPr>
      <w:r>
        <w:rPr>
          <w:rFonts w:hint="eastAsia"/>
          <w:color w:val="333333"/>
          <w:shd w:val="clear" w:color="auto" w:fill="FFFFFF"/>
        </w:rPr>
        <w:t>中共中央办公厅、国务院办公厅</w:t>
      </w:r>
      <w:r>
        <w:rPr>
          <w:rFonts w:hint="eastAsia"/>
          <w:color w:val="333333"/>
          <w:shd w:val="clear" w:color="auto" w:fill="FFFFFF"/>
        </w:rPr>
        <w:t xml:space="preserve"> </w:t>
      </w:r>
      <w:r w:rsidRPr="002F207E">
        <w:rPr>
          <w:rFonts w:ascii="楷体" w:eastAsia="楷体" w:hAnsi="楷体" w:hint="eastAsia"/>
          <w:color w:val="666666"/>
          <w:sz w:val="21"/>
          <w:szCs w:val="21"/>
          <w:shd w:val="clear" w:color="auto" w:fill="FFFFFF"/>
        </w:rPr>
        <w:t>2018-07-03</w:t>
      </w:r>
    </w:p>
    <w:p w:rsidR="002F207E" w:rsidRPr="002F207E" w:rsidRDefault="002F207E" w:rsidP="002F207E">
      <w:pPr>
        <w:ind w:firstLineChars="0" w:firstLine="0"/>
        <w:jc w:val="center"/>
        <w:rPr>
          <w:rFonts w:ascii="楷体" w:eastAsia="楷体" w:hAnsi="楷体" w:hint="eastAsia"/>
          <w:sz w:val="32"/>
          <w:szCs w:val="32"/>
        </w:rPr>
      </w:pPr>
    </w:p>
    <w:p w:rsidR="002F207E" w:rsidRPr="002F207E" w:rsidRDefault="002F207E" w:rsidP="002F207E">
      <w:pPr>
        <w:pStyle w:val="a7"/>
        <w:shd w:val="clear" w:color="auto" w:fill="FFFFFF"/>
        <w:spacing w:before="0" w:beforeAutospacing="0" w:after="0" w:afterAutospacing="0"/>
        <w:ind w:firstLine="480"/>
        <w:rPr>
          <w:rFonts w:ascii="仿宋" w:eastAsia="仿宋" w:hAnsi="仿宋"/>
          <w:color w:val="333333"/>
        </w:rPr>
      </w:pPr>
      <w:r w:rsidRPr="002F207E">
        <w:rPr>
          <w:rFonts w:ascii="仿宋" w:eastAsia="仿宋" w:hAnsi="仿宋" w:hint="eastAsia"/>
          <w:color w:val="333333"/>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一、总体要求</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（一）指导思想。</w:t>
      </w:r>
      <w:bookmarkStart w:id="0" w:name="_GoBack"/>
      <w:bookmarkEnd w:id="0"/>
      <w:r w:rsidRPr="002F207E">
        <w:rPr>
          <w:rFonts w:ascii="仿宋" w:eastAsia="仿宋" w:hAnsi="仿宋" w:hint="eastAsia"/>
          <w:color w:val="333333"/>
        </w:rPr>
        <w:t>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（二）基本原则</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坚持尊重规律。遵循科技人才发展和科研规律，科学设立评价目标、指标、方法，引导科研人员潜心研究、追求卓越。加强顶层设计，统筹和精简“三评”工作，简化优化流程，为科研人员和机构松绑减负，并形成长效机制。</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——坚持问题导向。聚焦“三评”工作中存在的突出问题，从破除体制机制障碍入手，找准突破口，更加注重质量、贡献、绩效，树立正确评价导向，增强针对性，突出实招硬招，提高改革的含金量和实效性。</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坚持客观公正。客观、真实、准确反映不同评价对象的实际情况，推行同行评价，引入国际评价，进一步提高科技评价活动的公开性和开放性，保证评价工作的独立性和公正性，确保评价结果的科学性和客观性。</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二、优化科研项目评审管理</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w:t>
      </w:r>
      <w:r w:rsidRPr="002F207E">
        <w:rPr>
          <w:rFonts w:ascii="仿宋" w:eastAsia="仿宋" w:hAnsi="仿宋" w:hint="eastAsia"/>
          <w:color w:val="333333"/>
        </w:rPr>
        <w:lastRenderedPageBreak/>
        <w:t>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lastRenderedPageBreak/>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三、改进科技人才评价方式</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lastRenderedPageBreak/>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四、完善科研机构评估制度</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一）实行章程管理。推动中央级科研事业单位制定实施章程，确立章程在单位管理运行中的基础性制度地位，实现“一院（所）一章程”和依章程管理。章程要明确规定单位的宗旨目标、功能定位、业务范围、领导体制、运行管理机制等，确保机构运行各项事务有章可循。</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规管理运行。切实发挥单位党委（党组）把方向、管大局、保落实的重要作用，坚决防止党的领导弱化、党的建设缺失。</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五、加强监督评估和科研诚信体系建设</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lastRenderedPageBreak/>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rsidR="002F207E" w:rsidRPr="002F207E" w:rsidRDefault="002F207E" w:rsidP="002F207E">
      <w:pPr>
        <w:pStyle w:val="a7"/>
        <w:shd w:val="clear" w:color="auto" w:fill="FFFFFF"/>
        <w:spacing w:before="0" w:beforeAutospacing="0" w:after="0" w:afterAutospacing="0"/>
        <w:ind w:firstLine="482"/>
        <w:rPr>
          <w:rFonts w:ascii="仿宋" w:eastAsia="仿宋" w:hAnsi="仿宋" w:hint="eastAsia"/>
          <w:color w:val="333333"/>
        </w:rPr>
      </w:pPr>
      <w:r w:rsidRPr="002F207E">
        <w:rPr>
          <w:rFonts w:ascii="仿宋" w:eastAsia="仿宋" w:hAnsi="仿宋" w:hint="eastAsia"/>
          <w:b/>
          <w:bCs/>
          <w:color w:val="333333"/>
        </w:rPr>
        <w:t>六、加强组织实施，确保政策措施落地见效</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三）加大推进力度。加强政府部门、用人单位、学术共同体、第三方评估机构等各类评价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rsidR="002F207E" w:rsidRPr="002F207E" w:rsidRDefault="002F207E" w:rsidP="002F207E">
      <w:pPr>
        <w:pStyle w:val="a7"/>
        <w:shd w:val="clear" w:color="auto" w:fill="FFFFFF"/>
        <w:spacing w:before="0" w:beforeAutospacing="0" w:after="0" w:afterAutospacing="0"/>
        <w:ind w:firstLine="480"/>
        <w:rPr>
          <w:rFonts w:ascii="仿宋" w:eastAsia="仿宋" w:hAnsi="仿宋" w:hint="eastAsia"/>
          <w:color w:val="333333"/>
        </w:rPr>
      </w:pPr>
      <w:r w:rsidRPr="002F207E">
        <w:rPr>
          <w:rFonts w:ascii="仿宋" w:eastAsia="仿宋" w:hAnsi="仿宋" w:hint="eastAsia"/>
          <w:color w:val="333333"/>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rsidR="002F207E" w:rsidRPr="002F207E" w:rsidRDefault="002F207E" w:rsidP="002F207E">
      <w:pPr>
        <w:ind w:firstLineChars="0" w:firstLine="0"/>
        <w:rPr>
          <w:rFonts w:ascii="仿宋" w:eastAsia="仿宋" w:hAnsi="仿宋" w:hint="eastAsia"/>
        </w:rPr>
      </w:pPr>
    </w:p>
    <w:sectPr w:rsidR="002F207E" w:rsidRPr="002F207E" w:rsidSect="002F207E">
      <w:headerReference w:type="even" r:id="rId6"/>
      <w:headerReference w:type="default" r:id="rId7"/>
      <w:footerReference w:type="even" r:id="rId8"/>
      <w:footerReference w:type="default" r:id="rId9"/>
      <w:headerReference w:type="first" r:id="rId10"/>
      <w:footerReference w:type="first" r:id="rId11"/>
      <w:pgSz w:w="11906" w:h="16838"/>
      <w:pgMar w:top="1440" w:right="1701" w:bottom="1276"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0F" w:rsidRDefault="00F8330F" w:rsidP="002F207E">
      <w:pPr>
        <w:spacing w:line="240" w:lineRule="auto"/>
        <w:ind w:firstLine="480"/>
      </w:pPr>
      <w:r>
        <w:separator/>
      </w:r>
    </w:p>
  </w:endnote>
  <w:endnote w:type="continuationSeparator" w:id="0">
    <w:p w:rsidR="00F8330F" w:rsidRDefault="00F8330F" w:rsidP="002F20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7E" w:rsidRDefault="002F207E">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056322"/>
      <w:docPartObj>
        <w:docPartGallery w:val="Page Numbers (Bottom of Page)"/>
        <w:docPartUnique/>
      </w:docPartObj>
    </w:sdtPr>
    <w:sdtContent>
      <w:p w:rsidR="002F207E" w:rsidRDefault="002F207E">
        <w:pPr>
          <w:pStyle w:val="aa"/>
          <w:ind w:firstLine="360"/>
          <w:jc w:val="center"/>
        </w:pPr>
        <w:r>
          <w:fldChar w:fldCharType="begin"/>
        </w:r>
        <w:r>
          <w:instrText>PAGE   \* MERGEFORMAT</w:instrText>
        </w:r>
        <w:r>
          <w:fldChar w:fldCharType="separate"/>
        </w:r>
        <w:r w:rsidRPr="002F207E">
          <w:rPr>
            <w:noProof/>
            <w:lang w:val="zh-CN"/>
          </w:rPr>
          <w:t>1</w:t>
        </w:r>
        <w:r>
          <w:fldChar w:fldCharType="end"/>
        </w:r>
      </w:p>
    </w:sdtContent>
  </w:sdt>
  <w:p w:rsidR="002F207E" w:rsidRDefault="002F207E">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7E" w:rsidRDefault="002F207E">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0F" w:rsidRDefault="00F8330F" w:rsidP="002F207E">
      <w:pPr>
        <w:spacing w:line="240" w:lineRule="auto"/>
        <w:ind w:firstLine="480"/>
      </w:pPr>
      <w:r>
        <w:separator/>
      </w:r>
    </w:p>
  </w:footnote>
  <w:footnote w:type="continuationSeparator" w:id="0">
    <w:p w:rsidR="00F8330F" w:rsidRDefault="00F8330F" w:rsidP="002F207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7E" w:rsidRDefault="002F207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7E" w:rsidRDefault="002F207E">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07E" w:rsidRDefault="002F207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7E"/>
    <w:rsid w:val="00092DD9"/>
    <w:rsid w:val="002F207E"/>
    <w:rsid w:val="005F497C"/>
    <w:rsid w:val="006F575C"/>
    <w:rsid w:val="00993177"/>
    <w:rsid w:val="00BF2013"/>
    <w:rsid w:val="00F8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383A"/>
  <w15:chartTrackingRefBased/>
  <w15:docId w15:val="{9B3A61D2-028E-4F8F-AFE1-164C542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5C"/>
    <w:pPr>
      <w:widowControl w:val="0"/>
      <w:spacing w:line="400" w:lineRule="exact"/>
      <w:ind w:firstLineChars="200" w:firstLine="200"/>
      <w:jc w:val="both"/>
    </w:pPr>
    <w:rPr>
      <w:rFonts w:eastAsia="仿宋_GB2312"/>
      <w:sz w:val="24"/>
    </w:rPr>
  </w:style>
  <w:style w:type="paragraph" w:styleId="2">
    <w:name w:val="heading 2"/>
    <w:aliases w:val="小三方"/>
    <w:basedOn w:val="a0"/>
    <w:next w:val="a"/>
    <w:link w:val="20"/>
    <w:autoRedefine/>
    <w:uiPriority w:val="9"/>
    <w:unhideWhenUsed/>
    <w:qFormat/>
    <w:rsid w:val="00092DD9"/>
    <w:pPr>
      <w:keepNext/>
      <w:keepLines/>
      <w:spacing w:line="500" w:lineRule="exact"/>
      <w:outlineLvl w:val="1"/>
    </w:pPr>
    <w:rPr>
      <w:rFonts w:eastAsia="方正小标宋简体"/>
      <w:b w:val="0"/>
      <w:bCs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aliases w:val="小三方 字符"/>
    <w:basedOn w:val="a1"/>
    <w:link w:val="2"/>
    <w:uiPriority w:val="9"/>
    <w:rsid w:val="00092DD9"/>
    <w:rPr>
      <w:rFonts w:asciiTheme="majorHAnsi" w:eastAsia="方正小标宋简体" w:hAnsiTheme="majorHAnsi" w:cstheme="majorBidi"/>
      <w:sz w:val="30"/>
      <w:szCs w:val="32"/>
    </w:rPr>
  </w:style>
  <w:style w:type="paragraph" w:styleId="a0">
    <w:name w:val="Title"/>
    <w:basedOn w:val="a"/>
    <w:next w:val="a"/>
    <w:link w:val="a4"/>
    <w:uiPriority w:val="10"/>
    <w:qFormat/>
    <w:rsid w:val="00092DD9"/>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092DD9"/>
    <w:rPr>
      <w:rFonts w:asciiTheme="majorHAnsi" w:eastAsiaTheme="majorEastAsia" w:hAnsiTheme="majorHAnsi" w:cstheme="majorBidi"/>
      <w:b/>
      <w:bCs/>
      <w:sz w:val="32"/>
      <w:szCs w:val="32"/>
    </w:rPr>
  </w:style>
  <w:style w:type="paragraph" w:customStyle="1" w:styleId="1">
    <w:name w:val="样式1"/>
    <w:basedOn w:val="a5"/>
    <w:qFormat/>
    <w:rsid w:val="00993177"/>
    <w:pPr>
      <w:ind w:firstLine="360"/>
    </w:pPr>
  </w:style>
  <w:style w:type="paragraph" w:styleId="a5">
    <w:name w:val="header"/>
    <w:basedOn w:val="a"/>
    <w:link w:val="a6"/>
    <w:uiPriority w:val="99"/>
    <w:unhideWhenUsed/>
    <w:rsid w:val="00BF2013"/>
    <w:pPr>
      <w:tabs>
        <w:tab w:val="center" w:pos="4153"/>
        <w:tab w:val="right" w:pos="8306"/>
      </w:tabs>
      <w:snapToGrid w:val="0"/>
      <w:spacing w:line="240" w:lineRule="atLeast"/>
      <w:jc w:val="center"/>
    </w:pPr>
    <w:rPr>
      <w:sz w:val="18"/>
      <w:szCs w:val="18"/>
    </w:rPr>
  </w:style>
  <w:style w:type="character" w:customStyle="1" w:styleId="a6">
    <w:name w:val="页眉 字符"/>
    <w:basedOn w:val="a1"/>
    <w:link w:val="a5"/>
    <w:uiPriority w:val="99"/>
    <w:rsid w:val="00BF2013"/>
    <w:rPr>
      <w:rFonts w:eastAsia="仿宋_GB2312"/>
      <w:sz w:val="18"/>
      <w:szCs w:val="18"/>
    </w:rPr>
  </w:style>
  <w:style w:type="paragraph" w:styleId="a7">
    <w:name w:val="Normal (Web)"/>
    <w:basedOn w:val="a"/>
    <w:uiPriority w:val="99"/>
    <w:semiHidden/>
    <w:unhideWhenUsed/>
    <w:rsid w:val="002F207E"/>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styleId="a8">
    <w:name w:val="Date"/>
    <w:basedOn w:val="a"/>
    <w:next w:val="a"/>
    <w:link w:val="a9"/>
    <w:uiPriority w:val="99"/>
    <w:semiHidden/>
    <w:unhideWhenUsed/>
    <w:rsid w:val="002F207E"/>
    <w:pPr>
      <w:ind w:leftChars="2500" w:left="100"/>
    </w:pPr>
  </w:style>
  <w:style w:type="character" w:customStyle="1" w:styleId="a9">
    <w:name w:val="日期 字符"/>
    <w:basedOn w:val="a1"/>
    <w:link w:val="a8"/>
    <w:uiPriority w:val="99"/>
    <w:semiHidden/>
    <w:rsid w:val="002F207E"/>
    <w:rPr>
      <w:rFonts w:eastAsia="仿宋_GB2312"/>
      <w:sz w:val="24"/>
    </w:rPr>
  </w:style>
  <w:style w:type="paragraph" w:styleId="aa">
    <w:name w:val="footer"/>
    <w:basedOn w:val="a"/>
    <w:link w:val="ab"/>
    <w:uiPriority w:val="99"/>
    <w:unhideWhenUsed/>
    <w:rsid w:val="002F207E"/>
    <w:pPr>
      <w:tabs>
        <w:tab w:val="center" w:pos="4153"/>
        <w:tab w:val="right" w:pos="8306"/>
      </w:tabs>
      <w:snapToGrid w:val="0"/>
      <w:spacing w:line="240" w:lineRule="atLeast"/>
      <w:jc w:val="left"/>
    </w:pPr>
    <w:rPr>
      <w:sz w:val="18"/>
      <w:szCs w:val="18"/>
    </w:rPr>
  </w:style>
  <w:style w:type="character" w:customStyle="1" w:styleId="ab">
    <w:name w:val="页脚 字符"/>
    <w:basedOn w:val="a1"/>
    <w:link w:val="aa"/>
    <w:uiPriority w:val="99"/>
    <w:rsid w:val="002F207E"/>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9808">
      <w:bodyDiv w:val="1"/>
      <w:marLeft w:val="0"/>
      <w:marRight w:val="0"/>
      <w:marTop w:val="0"/>
      <w:marBottom w:val="0"/>
      <w:divBdr>
        <w:top w:val="none" w:sz="0" w:space="0" w:color="auto"/>
        <w:left w:val="none" w:sz="0" w:space="0" w:color="auto"/>
        <w:bottom w:val="none" w:sz="0" w:space="0" w:color="auto"/>
        <w:right w:val="none" w:sz="0" w:space="0" w:color="auto"/>
      </w:divBdr>
    </w:div>
    <w:div w:id="9592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JIQQ</dc:creator>
  <cp:keywords/>
  <dc:description/>
  <cp:lastModifiedBy>JIQQ</cp:lastModifiedBy>
  <cp:revision>1</cp:revision>
  <dcterms:created xsi:type="dcterms:W3CDTF">2018-11-06T06:38:00Z</dcterms:created>
  <dcterms:modified xsi:type="dcterms:W3CDTF">2018-11-06T06:41:00Z</dcterms:modified>
</cp:coreProperties>
</file>